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P="001766C3">
      <w:pPr>
        <w:ind w:firstLine="540"/>
        <w:jc w:val="right"/>
      </w:pPr>
      <w:r>
        <w:rPr>
          <w:sz w:val="28"/>
          <w:szCs w:val="28"/>
        </w:rPr>
        <w:t xml:space="preserve">                                                              </w:t>
      </w:r>
      <w:r w:rsidRPr="00474236">
        <w:t>Дело № 5-</w:t>
      </w:r>
      <w:r w:rsidR="007D5F81">
        <w:t>450</w:t>
      </w:r>
      <w:r w:rsidR="00A53AF3">
        <w:t>-210</w:t>
      </w:r>
      <w:r w:rsidR="00407BE7">
        <w:t>5</w:t>
      </w:r>
      <w:r w:rsidR="005E6C66">
        <w:t>/202</w:t>
      </w:r>
      <w:r w:rsidR="007D5F81">
        <w:t>6</w:t>
      </w:r>
    </w:p>
    <w:p w:rsidR="00C5576E" w:rsidRPr="00512AB1" w:rsidP="001766C3">
      <w:pPr>
        <w:ind w:firstLine="540"/>
        <w:jc w:val="right"/>
        <w:rPr>
          <w:color w:val="FF0000"/>
        </w:rPr>
      </w:pPr>
      <w:r w:rsidRPr="00512AB1">
        <w:rPr>
          <w:color w:val="FF0000"/>
        </w:rPr>
        <w:t xml:space="preserve">  </w:t>
      </w:r>
      <w:r w:rsidRPr="00347353" w:rsidR="00347353">
        <w:t>86MS0045-01-</w:t>
      </w:r>
      <w:r w:rsidR="007D5F81">
        <w:t>2026</w:t>
      </w:r>
      <w:r w:rsidRPr="00347353" w:rsidR="00347353">
        <w:t>-</w:t>
      </w:r>
      <w:r w:rsidR="007D5F81">
        <w:t>002303</w:t>
      </w:r>
      <w:r w:rsidRPr="00347353" w:rsidR="00347353">
        <w:t>-</w:t>
      </w:r>
      <w:r w:rsidR="007D5F81">
        <w:t>44</w:t>
      </w:r>
    </w:p>
    <w:p w:rsidR="00497B0E" w:rsidRPr="00497B0E" w:rsidP="001766C3">
      <w:pPr>
        <w:ind w:firstLine="540"/>
        <w:jc w:val="right"/>
      </w:pPr>
    </w:p>
    <w:p w:rsidR="00C5576E" w:rsidRPr="008E7F97" w:rsidP="001766C3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ПОСТАНОВЛЕНИЕ</w:t>
      </w:r>
    </w:p>
    <w:p w:rsidR="00C5576E" w:rsidRPr="008E7F97" w:rsidP="001766C3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 делу об административном правонарушении</w:t>
      </w:r>
    </w:p>
    <w:p w:rsidR="00C5576E" w:rsidRPr="008E7F97" w:rsidP="001766C3">
      <w:pPr>
        <w:ind w:firstLine="540"/>
        <w:jc w:val="both"/>
        <w:rPr>
          <w:sz w:val="28"/>
          <w:szCs w:val="28"/>
        </w:rPr>
      </w:pPr>
    </w:p>
    <w:p w:rsidR="00C5576E" w:rsidRPr="008E7F97" w:rsidP="001766C3">
      <w:pPr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 г. Нижневартовск</w:t>
      </w:r>
      <w:r>
        <w:rPr>
          <w:sz w:val="28"/>
          <w:szCs w:val="28"/>
        </w:rPr>
        <w:t xml:space="preserve">                                 </w:t>
      </w:r>
      <w:r w:rsidR="006B3D5C">
        <w:rPr>
          <w:sz w:val="28"/>
          <w:szCs w:val="28"/>
        </w:rPr>
        <w:t xml:space="preserve">                               </w:t>
      </w:r>
      <w:r w:rsidRPr="00A53AF3" w:rsidR="00A53AF3">
        <w:rPr>
          <w:sz w:val="28"/>
          <w:szCs w:val="28"/>
        </w:rPr>
        <w:t xml:space="preserve">  </w:t>
      </w:r>
      <w:r w:rsidR="007A56FE">
        <w:rPr>
          <w:sz w:val="28"/>
          <w:szCs w:val="28"/>
        </w:rPr>
        <w:t>20</w:t>
      </w:r>
      <w:r w:rsidR="007D5F81">
        <w:rPr>
          <w:sz w:val="28"/>
          <w:szCs w:val="28"/>
        </w:rPr>
        <w:t xml:space="preserve"> мая 2026</w:t>
      </w:r>
      <w:r w:rsidRPr="008E7F97">
        <w:rPr>
          <w:sz w:val="28"/>
          <w:szCs w:val="28"/>
        </w:rPr>
        <w:t xml:space="preserve"> года </w:t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  <w:t xml:space="preserve">   </w:t>
      </w:r>
      <w:r w:rsidRPr="008E7F97">
        <w:rPr>
          <w:sz w:val="28"/>
          <w:szCs w:val="28"/>
        </w:rPr>
        <w:tab/>
      </w:r>
    </w:p>
    <w:p w:rsidR="00C5576E" w:rsidRPr="008E7F97" w:rsidP="001766C3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</w:t>
      </w:r>
      <w:r>
        <w:rPr>
          <w:sz w:val="28"/>
          <w:szCs w:val="28"/>
        </w:rPr>
        <w:t>Т.А. Лаптева</w:t>
      </w:r>
      <w:r w:rsidRPr="008E7F97">
        <w:rPr>
          <w:sz w:val="28"/>
          <w:szCs w:val="28"/>
        </w:rPr>
        <w:t xml:space="preserve">, 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="009D03D5">
        <w:rPr>
          <w:sz w:val="28"/>
          <w:szCs w:val="28"/>
        </w:rPr>
        <w:t>, г. </w:t>
      </w:r>
      <w:r w:rsidRPr="008E7F97">
        <w:rPr>
          <w:sz w:val="28"/>
          <w:szCs w:val="28"/>
        </w:rPr>
        <w:t>Нижневартовс</w:t>
      </w:r>
      <w:r w:rsidRPr="008E7F97">
        <w:rPr>
          <w:sz w:val="28"/>
          <w:szCs w:val="28"/>
        </w:rPr>
        <w:t>к,</w:t>
      </w:r>
    </w:p>
    <w:p w:rsidR="00C5576E" w:rsidRPr="008E7F97" w:rsidP="001766C3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407BE7" w:rsidP="001766C3">
      <w:pPr>
        <w:pStyle w:val="BodyTex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бюджетного дошкольного образовательного учреждения детского сада № 31 «Медвежонок»</w:t>
      </w:r>
      <w:r w:rsidR="009D03D5">
        <w:rPr>
          <w:sz w:val="28"/>
          <w:szCs w:val="28"/>
          <w:lang w:val="ru-RU"/>
        </w:rPr>
        <w:t>, юридический адрес: г. </w:t>
      </w:r>
      <w:r>
        <w:rPr>
          <w:sz w:val="28"/>
          <w:szCs w:val="28"/>
          <w:lang w:val="ru-RU"/>
        </w:rPr>
        <w:t>Нижневартовск, ул. Нефтяников, д. 74А, ИНН 8603092670,</w:t>
      </w:r>
      <w:r w:rsidR="00597B8C">
        <w:rPr>
          <w:sz w:val="28"/>
          <w:szCs w:val="28"/>
          <w:lang w:val="ru-RU"/>
        </w:rPr>
        <w:t xml:space="preserve"> ОГРН </w:t>
      </w:r>
      <w:r>
        <w:rPr>
          <w:sz w:val="28"/>
          <w:szCs w:val="28"/>
          <w:lang w:val="ru-RU"/>
        </w:rPr>
        <w:t>1028600962466</w:t>
      </w:r>
      <w:r w:rsidR="00597B8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</w:p>
    <w:p w:rsidR="00C5576E" w:rsidRPr="008E7F97" w:rsidP="001766C3">
      <w:pPr>
        <w:suppressAutoHyphens/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УСТАНОВИЛ:</w:t>
      </w:r>
    </w:p>
    <w:p w:rsidR="005E6C66" w:rsidP="001766C3">
      <w:pPr>
        <w:pStyle w:val="BodyTextIndent"/>
        <w:suppressAutoHyphens/>
        <w:rPr>
          <w:sz w:val="28"/>
          <w:szCs w:val="28"/>
          <w:lang w:val="ru-RU"/>
        </w:rPr>
      </w:pPr>
    </w:p>
    <w:p w:rsidR="00D87009" w:rsidP="00BE19FC">
      <w:pPr>
        <w:pStyle w:val="BodyTextIndent"/>
        <w:suppressAutoHyphens/>
        <w:rPr>
          <w:sz w:val="28"/>
          <w:szCs w:val="28"/>
          <w:lang w:val="ru-RU"/>
        </w:rPr>
      </w:pPr>
      <w:r w:rsidRPr="00454ED5">
        <w:rPr>
          <w:sz w:val="28"/>
          <w:szCs w:val="28"/>
        </w:rPr>
        <w:t>муниципальн</w:t>
      </w:r>
      <w:r>
        <w:rPr>
          <w:sz w:val="28"/>
          <w:szCs w:val="28"/>
          <w:lang w:val="ru-RU"/>
        </w:rPr>
        <w:t>ым</w:t>
      </w:r>
      <w:r w:rsidRPr="00454ED5">
        <w:rPr>
          <w:sz w:val="28"/>
          <w:szCs w:val="28"/>
        </w:rPr>
        <w:t xml:space="preserve"> бюджетн</w:t>
      </w:r>
      <w:r>
        <w:rPr>
          <w:sz w:val="28"/>
          <w:szCs w:val="28"/>
          <w:lang w:val="ru-RU"/>
        </w:rPr>
        <w:t xml:space="preserve">ым </w:t>
      </w:r>
      <w:r w:rsidRPr="00454ED5">
        <w:rPr>
          <w:sz w:val="28"/>
          <w:szCs w:val="28"/>
        </w:rPr>
        <w:t>дошкольн</w:t>
      </w:r>
      <w:r>
        <w:rPr>
          <w:sz w:val="28"/>
          <w:szCs w:val="28"/>
          <w:lang w:val="ru-RU"/>
        </w:rPr>
        <w:t>ым</w:t>
      </w:r>
      <w:r w:rsidRPr="00454ED5">
        <w:rPr>
          <w:sz w:val="28"/>
          <w:szCs w:val="28"/>
        </w:rPr>
        <w:t xml:space="preserve"> образовательн</w:t>
      </w:r>
      <w:r>
        <w:rPr>
          <w:sz w:val="28"/>
          <w:szCs w:val="28"/>
          <w:lang w:val="ru-RU"/>
        </w:rPr>
        <w:t>ым</w:t>
      </w:r>
      <w:r w:rsidRPr="00454ED5">
        <w:rPr>
          <w:sz w:val="28"/>
          <w:szCs w:val="28"/>
        </w:rPr>
        <w:t xml:space="preserve"> учреждени</w:t>
      </w:r>
      <w:r>
        <w:rPr>
          <w:sz w:val="28"/>
          <w:szCs w:val="28"/>
          <w:lang w:val="ru-RU"/>
        </w:rPr>
        <w:t>ем</w:t>
      </w:r>
      <w:r w:rsidRPr="00454ED5">
        <w:rPr>
          <w:sz w:val="28"/>
          <w:szCs w:val="28"/>
        </w:rPr>
        <w:t xml:space="preserve"> детск</w:t>
      </w:r>
      <w:r>
        <w:rPr>
          <w:sz w:val="28"/>
          <w:szCs w:val="28"/>
          <w:lang w:val="ru-RU"/>
        </w:rPr>
        <w:t>им</w:t>
      </w:r>
      <w:r w:rsidRPr="00454ED5">
        <w:rPr>
          <w:sz w:val="28"/>
          <w:szCs w:val="28"/>
        </w:rPr>
        <w:t xml:space="preserve"> сад</w:t>
      </w:r>
      <w:r>
        <w:rPr>
          <w:sz w:val="28"/>
          <w:szCs w:val="28"/>
          <w:lang w:val="ru-RU"/>
        </w:rPr>
        <w:t>ом</w:t>
      </w:r>
      <w:r w:rsidRPr="00454ED5">
        <w:rPr>
          <w:sz w:val="28"/>
          <w:szCs w:val="28"/>
        </w:rPr>
        <w:t xml:space="preserve"> № 31 «Медвежонок» </w:t>
      </w:r>
      <w:r>
        <w:rPr>
          <w:sz w:val="28"/>
          <w:szCs w:val="26"/>
        </w:rPr>
        <w:t xml:space="preserve">(далее по тексту – </w:t>
      </w:r>
      <w:r w:rsidRPr="00A03A41">
        <w:rPr>
          <w:sz w:val="28"/>
          <w:szCs w:val="28"/>
        </w:rPr>
        <w:t>Учреждение</w:t>
      </w:r>
      <w:r>
        <w:rPr>
          <w:sz w:val="28"/>
          <w:szCs w:val="28"/>
          <w:lang w:val="ru-RU"/>
        </w:rPr>
        <w:t xml:space="preserve">, </w:t>
      </w:r>
      <w:r w:rsidRPr="00C6716E">
        <w:rPr>
          <w:sz w:val="28"/>
          <w:szCs w:val="28"/>
          <w:lang w:val="ru-RU"/>
        </w:rPr>
        <w:t>МБДОУ ДС № 31 «Медвежонок»</w:t>
      </w:r>
      <w:r>
        <w:rPr>
          <w:sz w:val="28"/>
          <w:szCs w:val="26"/>
        </w:rPr>
        <w:t xml:space="preserve">) </w:t>
      </w:r>
      <w:r>
        <w:rPr>
          <w:sz w:val="28"/>
          <w:szCs w:val="28"/>
          <w:lang w:val="ru-RU"/>
        </w:rPr>
        <w:t>24 января 2025</w:t>
      </w:r>
      <w:r w:rsidRPr="00A03A41">
        <w:rPr>
          <w:sz w:val="28"/>
          <w:szCs w:val="28"/>
        </w:rPr>
        <w:t xml:space="preserve"> года по адресу: </w:t>
      </w:r>
      <w:r>
        <w:rPr>
          <w:sz w:val="28"/>
          <w:szCs w:val="28"/>
          <w:lang w:val="ru-RU"/>
        </w:rPr>
        <w:t xml:space="preserve">ХМАО-Югра, </w:t>
      </w:r>
      <w:r w:rsidRPr="00A03A41">
        <w:rPr>
          <w:sz w:val="28"/>
          <w:szCs w:val="28"/>
        </w:rPr>
        <w:t xml:space="preserve">город Нижневартовск, улица </w:t>
      </w:r>
      <w:r>
        <w:rPr>
          <w:sz w:val="28"/>
          <w:szCs w:val="28"/>
          <w:lang w:val="ru-RU"/>
        </w:rPr>
        <w:t>Нефтя</w:t>
      </w:r>
      <w:r>
        <w:rPr>
          <w:sz w:val="28"/>
          <w:szCs w:val="28"/>
          <w:lang w:val="ru-RU"/>
        </w:rPr>
        <w:t>ников, д. 74А</w:t>
      </w:r>
      <w:r w:rsidRPr="00A03A41">
        <w:rPr>
          <w:sz w:val="28"/>
          <w:szCs w:val="28"/>
        </w:rPr>
        <w:t xml:space="preserve">, допущено нецелевое использование бюджетных средств в общей сумме </w:t>
      </w:r>
      <w:r>
        <w:rPr>
          <w:sz w:val="28"/>
          <w:szCs w:val="28"/>
          <w:lang w:val="ru-RU"/>
        </w:rPr>
        <w:t>33950</w:t>
      </w:r>
      <w:r w:rsidRPr="00A03A41">
        <w:rPr>
          <w:sz w:val="28"/>
          <w:szCs w:val="28"/>
        </w:rPr>
        <w:t xml:space="preserve"> рубл</w:t>
      </w:r>
      <w:r>
        <w:rPr>
          <w:sz w:val="28"/>
          <w:szCs w:val="28"/>
          <w:lang w:val="ru-RU"/>
        </w:rPr>
        <w:t>ей</w:t>
      </w:r>
      <w:r w:rsidRPr="00A03A41">
        <w:rPr>
          <w:sz w:val="28"/>
          <w:szCs w:val="28"/>
        </w:rPr>
        <w:t xml:space="preserve">, выразившееся в направлении средств, полученных из местного бюджета, на цели, не соответствующие целям, определенным соглашением от </w:t>
      </w:r>
      <w:r>
        <w:rPr>
          <w:sz w:val="28"/>
          <w:szCs w:val="28"/>
          <w:lang w:val="ru-RU"/>
        </w:rPr>
        <w:t>28.12.2024 № 3</w:t>
      </w:r>
      <w:r w:rsidRPr="00A03A41">
        <w:rPr>
          <w:sz w:val="28"/>
          <w:szCs w:val="28"/>
        </w:rPr>
        <w:t xml:space="preserve"> о предоставления</w:t>
      </w:r>
      <w:r w:rsidRPr="00A03A4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из бюджета города Нижневартовска,</w:t>
      </w:r>
      <w:r w:rsidRPr="00454ED5">
        <w:rPr>
          <w:sz w:val="28"/>
          <w:szCs w:val="28"/>
          <w:lang w:val="ru-RU"/>
        </w:rPr>
        <w:t xml:space="preserve"> </w:t>
      </w:r>
      <w:r w:rsidRPr="00D87009">
        <w:rPr>
          <w:sz w:val="28"/>
          <w:szCs w:val="28"/>
          <w:lang w:val="ru-RU"/>
        </w:rPr>
        <w:t>на оплату постеров, поставленных согласно УПД от 17.01.2025 №5, не</w:t>
      </w:r>
      <w:r>
        <w:rPr>
          <w:sz w:val="28"/>
          <w:szCs w:val="28"/>
          <w:lang w:val="ru-RU"/>
        </w:rPr>
        <w:t xml:space="preserve"> являющимися средством обучения.</w:t>
      </w:r>
    </w:p>
    <w:p w:rsidR="00347353" w:rsidRPr="00201840" w:rsidP="001766C3">
      <w:pPr>
        <w:pStyle w:val="BodyTextIndent"/>
        <w:rPr>
          <w:sz w:val="28"/>
          <w:szCs w:val="28"/>
          <w:lang w:val="ru-RU"/>
        </w:rPr>
      </w:pPr>
      <w:r w:rsidRPr="00201840">
        <w:rPr>
          <w:sz w:val="28"/>
          <w:szCs w:val="28"/>
          <w:lang w:val="ru-RU"/>
        </w:rPr>
        <w:t xml:space="preserve">При </w:t>
      </w:r>
      <w:r w:rsidRPr="00201840">
        <w:rPr>
          <w:sz w:val="28"/>
          <w:szCs w:val="28"/>
        </w:rPr>
        <w:t>рассмотрени</w:t>
      </w:r>
      <w:r w:rsidRPr="00201840">
        <w:rPr>
          <w:sz w:val="28"/>
          <w:szCs w:val="28"/>
          <w:lang w:val="ru-RU"/>
        </w:rPr>
        <w:t>и</w:t>
      </w:r>
      <w:r w:rsidRPr="00201840">
        <w:rPr>
          <w:sz w:val="28"/>
          <w:szCs w:val="28"/>
        </w:rPr>
        <w:t xml:space="preserve"> дела об административном правонарушении </w:t>
      </w:r>
      <w:r w:rsidR="001766C3">
        <w:rPr>
          <w:sz w:val="28"/>
          <w:szCs w:val="28"/>
          <w:lang w:val="ru-RU"/>
        </w:rPr>
        <w:t xml:space="preserve">законный представитель </w:t>
      </w:r>
      <w:r w:rsidR="007D5F81">
        <w:rPr>
          <w:sz w:val="28"/>
          <w:szCs w:val="28"/>
          <w:lang w:val="ru-RU"/>
        </w:rPr>
        <w:t>МБДОУ ДС № 31 «Медвежонок»</w:t>
      </w:r>
      <w:r w:rsidRPr="00201840">
        <w:rPr>
          <w:sz w:val="28"/>
          <w:szCs w:val="28"/>
          <w:lang w:val="ru-RU"/>
        </w:rPr>
        <w:t xml:space="preserve"> </w:t>
      </w:r>
      <w:r w:rsidR="001702AC">
        <w:rPr>
          <w:sz w:val="28"/>
          <w:szCs w:val="28"/>
          <w:lang w:val="ru-RU"/>
        </w:rPr>
        <w:t>ФИО1</w:t>
      </w:r>
      <w:r w:rsidR="00BE19FC">
        <w:rPr>
          <w:sz w:val="28"/>
          <w:szCs w:val="28"/>
          <w:lang w:val="ru-RU"/>
        </w:rPr>
        <w:t xml:space="preserve"> </w:t>
      </w:r>
      <w:r w:rsidRPr="00201840">
        <w:rPr>
          <w:sz w:val="28"/>
          <w:szCs w:val="28"/>
          <w:lang w:val="ru-RU"/>
        </w:rPr>
        <w:t>подтвердил</w:t>
      </w:r>
      <w:r w:rsidR="007D5F81">
        <w:rPr>
          <w:sz w:val="28"/>
          <w:szCs w:val="28"/>
          <w:lang w:val="ru-RU"/>
        </w:rPr>
        <w:t>а</w:t>
      </w:r>
      <w:r w:rsidRPr="00201840">
        <w:rPr>
          <w:sz w:val="28"/>
          <w:szCs w:val="28"/>
          <w:lang w:val="ru-RU"/>
        </w:rPr>
        <w:t xml:space="preserve"> факт нецелевого использования денежных средств. </w:t>
      </w:r>
      <w:r w:rsidRPr="00653200" w:rsidR="00653200">
        <w:rPr>
          <w:sz w:val="28"/>
          <w:szCs w:val="28"/>
          <w:lang w:val="ru-RU"/>
        </w:rPr>
        <w:t>Указала, что в ходе проведения контрольного мероприятия нарушение устранено путем внесения денежных средств на лицевой счет учреждения.</w:t>
      </w:r>
    </w:p>
    <w:p w:rsidR="001766C3" w:rsidP="007D5F81">
      <w:pPr>
        <w:ind w:firstLine="540"/>
        <w:jc w:val="both"/>
        <w:rPr>
          <w:sz w:val="28"/>
          <w:szCs w:val="28"/>
        </w:rPr>
      </w:pPr>
      <w:r w:rsidRPr="00201840">
        <w:rPr>
          <w:sz w:val="28"/>
          <w:szCs w:val="28"/>
        </w:rPr>
        <w:t>Мировой судья, выслушав представителя</w:t>
      </w:r>
      <w:r w:rsidR="001C7243">
        <w:rPr>
          <w:sz w:val="28"/>
          <w:szCs w:val="28"/>
        </w:rPr>
        <w:t xml:space="preserve"> юридического</w:t>
      </w:r>
      <w:r w:rsidRPr="00201840">
        <w:rPr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 w:rsidR="001C7243">
        <w:rPr>
          <w:sz w:val="28"/>
          <w:szCs w:val="28"/>
        </w:rPr>
        <w:t>а</w:t>
      </w:r>
      <w:r w:rsidRPr="00201840">
        <w:rPr>
          <w:sz w:val="28"/>
          <w:szCs w:val="28"/>
        </w:rPr>
        <w:t>, при</w:t>
      </w:r>
      <w:r w:rsidRPr="00201840">
        <w:rPr>
          <w:sz w:val="28"/>
          <w:szCs w:val="28"/>
        </w:rPr>
        <w:t>влекаемо</w:t>
      </w:r>
      <w:r w:rsidR="001C7243">
        <w:rPr>
          <w:sz w:val="28"/>
          <w:szCs w:val="28"/>
        </w:rPr>
        <w:t>го</w:t>
      </w:r>
      <w:r w:rsidRPr="00201840">
        <w:rPr>
          <w:sz w:val="28"/>
          <w:szCs w:val="28"/>
        </w:rPr>
        <w:t xml:space="preserve"> к административной ответственности, изучив материалы дела, приходит к следующему.  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>Формирование расходов бюджетов бюджетной системы Российской Федерации осуществляется в соответствии с расходными обязательствами, обусловленными установленным за</w:t>
      </w:r>
      <w:r w:rsidRPr="007D5F81">
        <w:rPr>
          <w:sz w:val="28"/>
          <w:szCs w:val="28"/>
        </w:rPr>
        <w:t>конодательством Российской Фед</w:t>
      </w:r>
      <w:r w:rsidRPr="007D5F81">
        <w:rPr>
          <w:sz w:val="28"/>
          <w:szCs w:val="28"/>
        </w:rPr>
        <w:t>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исполнение которых согласно законодательству Российс</w:t>
      </w:r>
      <w:r w:rsidRPr="007D5F81">
        <w:rPr>
          <w:sz w:val="28"/>
          <w:szCs w:val="28"/>
        </w:rPr>
        <w:t>кой Федерации, международным и иным договорам и соглашениям должно происходить в очередном финансовом году (очередном финансовом году и плановом периоде) за счет средств соответствующих бюджетов (статья 65 Бюджетного кодекса Российской Федерации).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>Ассигнов</w:t>
      </w:r>
      <w:r w:rsidRPr="007D5F81">
        <w:rPr>
          <w:sz w:val="28"/>
          <w:szCs w:val="28"/>
        </w:rPr>
        <w:t>ания на предоставление субсидий бюджетным учреждениям, включая субсидии на финансовое обеспечение выполнения ими муниципального задания, относятся к бюджетным ассигнованиям на оказание муниципальных услуг (выполнение работ). Предоставление вышеуказанных су</w:t>
      </w:r>
      <w:r w:rsidRPr="007D5F81">
        <w:rPr>
          <w:sz w:val="28"/>
          <w:szCs w:val="28"/>
        </w:rPr>
        <w:t>бсидий осуществляется в соответствии с заключаемыми в установленном порядке соглашениями о предоставлении субсидии (статья 69.1, пункт 1 статьи 78.1 Бюджетного кодекса Российской Федерации).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 xml:space="preserve">Для определения объема субсидии на выполнение муниципального </w:t>
      </w:r>
      <w:r w:rsidRPr="007D5F81">
        <w:rPr>
          <w:sz w:val="28"/>
          <w:szCs w:val="28"/>
        </w:rPr>
        <w:t>задания бюджетным учреждением используются показатели муниципального задания, которое формируется в порядке, установленном местной администрацией муниципального образования. Финансовое обеспечение выполнения муниципального задания осуществляется в установл</w:t>
      </w:r>
      <w:r w:rsidRPr="007D5F81">
        <w:rPr>
          <w:sz w:val="28"/>
          <w:szCs w:val="28"/>
        </w:rPr>
        <w:t>енном порядке за счет средств соответствующего бюджета (статья 69.2 Бюджетного кодекса Российской Федерации).</w:t>
      </w:r>
    </w:p>
    <w:p w:rsidR="007D5F81" w:rsidRPr="007D5F81" w:rsidP="00653200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 xml:space="preserve">В соответствии с пунктом 13 части 1 статьи 16 Федерального закона от 06.10.2010 №131-Ф3 "Об общих принципах организации местного самоуправления в </w:t>
      </w:r>
      <w:r w:rsidRPr="007D5F81">
        <w:rPr>
          <w:sz w:val="28"/>
          <w:szCs w:val="28"/>
        </w:rPr>
        <w:t>Российской Федерации", пунктом 3 части 1 статьи 8, пунктом 1 части 1 статьи 9 Федерального закона от 29.12.2012 №273-Ф3 "Об образовании в Российской Федерации", пунктом 2 статьи 14 Закона Ханты-Мансийского автономного округа - Югры от 01.07.2013 №68-оз "Об</w:t>
      </w:r>
      <w:r w:rsidRPr="007D5F81">
        <w:rPr>
          <w:sz w:val="28"/>
          <w:szCs w:val="28"/>
        </w:rPr>
        <w:t xml:space="preserve"> образовании в Ханты-Мансийском автономном округе - Югре, подпунктом 2 пункта 1 статьи 9 Закона Ханты-Мансийского автономного округа - Югры от 11.12.2013 №123-оз "О наделении органов местного самоуправления муниципальных образований Ханты-Мансийского автон</w:t>
      </w:r>
      <w:r w:rsidRPr="007D5F81">
        <w:rPr>
          <w:sz w:val="28"/>
          <w:szCs w:val="28"/>
        </w:rPr>
        <w:t xml:space="preserve">омного округа - Югры отдельными государственными полномочиями Ханты-Мансийского автономного округа - Югры в сфере образования и о субвенциях местным бюджетам на обеспечение государственных гарантий реализации прав на получение общедоступного и бесплатного </w:t>
      </w:r>
      <w:r w:rsidRPr="007D5F81">
        <w:rPr>
          <w:sz w:val="28"/>
          <w:szCs w:val="28"/>
        </w:rPr>
        <w:t>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</w:t>
      </w:r>
      <w:r w:rsidRPr="007D5F81">
        <w:rPr>
          <w:sz w:val="28"/>
          <w:szCs w:val="28"/>
        </w:rPr>
        <w:t>ительного образования детей в муниципальных общеобразовательных организациях", Порядком предоставления субвенций из бюджета Ханты-Мансийского автономного округа - Югры бюджетам муниципальных районов и городских округов Ханты-Мансийского</w:t>
      </w:r>
      <w:r w:rsidR="00653200">
        <w:rPr>
          <w:sz w:val="28"/>
          <w:szCs w:val="28"/>
        </w:rPr>
        <w:t xml:space="preserve"> </w:t>
      </w:r>
      <w:r w:rsidRPr="007D5F81">
        <w:rPr>
          <w:sz w:val="28"/>
          <w:szCs w:val="28"/>
        </w:rPr>
        <w:t xml:space="preserve">автономного округа </w:t>
      </w:r>
      <w:r w:rsidRPr="007D5F81">
        <w:rPr>
          <w:sz w:val="28"/>
          <w:szCs w:val="28"/>
        </w:rPr>
        <w:t>- Югры для обеспечения государственных гарантий на получение образования и осуществления переданных отдельных государственных полномочий в области образования", утвержденным постановлением Правительства Ханты-Мансийского автономного округа - Югры от 30.12.</w:t>
      </w:r>
      <w:r w:rsidRPr="007D5F81">
        <w:rPr>
          <w:sz w:val="28"/>
          <w:szCs w:val="28"/>
        </w:rPr>
        <w:t>2016 №567-п (далее - постановление Правительства Ханты-Мансийского автономного округа - Югры от 30.12.2016 №567-п), Порядком формирования, финансового обеспечения выполнения муниципального задания на оказание муниципальных услуг (выполнение работ) муниципа</w:t>
      </w:r>
      <w:r w:rsidRPr="007D5F81">
        <w:rPr>
          <w:sz w:val="28"/>
          <w:szCs w:val="28"/>
        </w:rPr>
        <w:t xml:space="preserve">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</w:t>
      </w:r>
      <w:r w:rsidRPr="007D5F81">
        <w:rPr>
          <w:sz w:val="28"/>
          <w:szCs w:val="28"/>
        </w:rPr>
        <w:t>муниципального задания, утвержденным постановлением администрации города от 21.12.2015 №2291, финансов</w:t>
      </w:r>
      <w:r w:rsidRPr="007D5F81">
        <w:rPr>
          <w:sz w:val="28"/>
          <w:szCs w:val="28"/>
        </w:rPr>
        <w:t>ое обеспечение расходов объекта контроля на оказание муниципальных услуг (выполнение работ), установленных в муниципальном задании на оказание муниципальных услуг (выполнение работ) на 2025 год и плановый период 2026 и 2027 годов, производилось за счет сре</w:t>
      </w:r>
      <w:r w:rsidRPr="007D5F81">
        <w:rPr>
          <w:sz w:val="28"/>
          <w:szCs w:val="28"/>
        </w:rPr>
        <w:t>дств субсидии на выполнение муниципального задания, предоставленной объекту контроля Соглашением №3, сформированной за счет средств: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5F81">
        <w:rPr>
          <w:sz w:val="28"/>
          <w:szCs w:val="28"/>
        </w:rPr>
        <w:t>субвенции на реализацию основных общеобразовательных программ, предоставленной из бюджета Ханты-Мансийского автономного о</w:t>
      </w:r>
      <w:r w:rsidRPr="007D5F81">
        <w:rPr>
          <w:sz w:val="28"/>
          <w:szCs w:val="28"/>
        </w:rPr>
        <w:t>круга - Югры, КС 006.10.0103,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(на оплату труда работников муниципальных дошко</w:t>
      </w:r>
      <w:r w:rsidRPr="007D5F81">
        <w:rPr>
          <w:sz w:val="28"/>
          <w:szCs w:val="28"/>
        </w:rPr>
        <w:t>льных образовательных организаций, дополнительное профессиональное образование педагогических работников, приобретение учебников и учебных пособий, средств обучения, игр, игрушек);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 xml:space="preserve">- бюджета города, код субсидии 006.10.0101, предоставленной на обеспечение </w:t>
      </w:r>
      <w:r w:rsidRPr="007D5F81">
        <w:rPr>
          <w:sz w:val="28"/>
          <w:szCs w:val="28"/>
        </w:rPr>
        <w:t>предоставления общедоступного и бесплатного дошкольного образования в муниципальных дошкольных образовательных организациях (за исключением расходов, предусмотренных за счет средств субсидии КС 006.10.0103).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>Порядок формирования, финансового обеспечения вы</w:t>
      </w:r>
      <w:r w:rsidRPr="007D5F81">
        <w:rPr>
          <w:sz w:val="28"/>
          <w:szCs w:val="28"/>
        </w:rPr>
        <w:t>полнения муниципального задания на оказание муниципальных услуг (выполнение работ) муниципальными учреждениями города Нижневартовска и предоставления субсидий муниципальным бюджетным учреждениям на финансовое обеспечение выполнения муниципального задания у</w:t>
      </w:r>
      <w:r w:rsidRPr="007D5F81">
        <w:rPr>
          <w:sz w:val="28"/>
          <w:szCs w:val="28"/>
        </w:rPr>
        <w:t>твержден постановлением администрации города от 21.12.2015 №2291.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>Муниципальное задание на 2025 год и на плановый период 2026 и 2027 годов выдано учреждению на оказание муниципальных услуг по реализации основных общеобразовательных программ, соответствующи</w:t>
      </w:r>
      <w:r w:rsidRPr="007D5F81">
        <w:rPr>
          <w:sz w:val="28"/>
          <w:szCs w:val="28"/>
        </w:rPr>
        <w:t>х направлениям расходования субсидии, установленным в пункте 1.1 Соглашения №3.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>Согласно пунктам 2.1 - 2.4 Соглашения №3 субсидия предоставляется учреждению на оказание муниципальных услуг (выполнение работ), установленных в муниципальном задании, в соотве</w:t>
      </w:r>
      <w:r w:rsidRPr="007D5F81">
        <w:rPr>
          <w:sz w:val="28"/>
          <w:szCs w:val="28"/>
        </w:rPr>
        <w:t>тствии с целевыми направлениями расходования средств, установленными в объеме, предусмотренном приложением 1 к данному соглашению.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 xml:space="preserve">Пунктом 4.3 Соглашения №3 установлены обязанности учреждения по использованию субсидии на выполнение муниципального задания, </w:t>
      </w:r>
      <w:r w:rsidRPr="007D5F81">
        <w:rPr>
          <w:sz w:val="28"/>
          <w:szCs w:val="28"/>
        </w:rPr>
        <w:t>а именно: обеспечить использование субсидии, предоставленной за счет средств бюджета Ханты-Мансийского автономного округа - Югры, в соответствии с целевым направлением расходования средств и нормативами, установленными постановлением Правительства Ханты-Ма</w:t>
      </w:r>
      <w:r w:rsidRPr="007D5F81">
        <w:rPr>
          <w:sz w:val="28"/>
          <w:szCs w:val="28"/>
        </w:rPr>
        <w:t>нсийского автономного округа - Югры от 30.12.2016 №567-п; обеспечить целевое использование средств субсидии.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 xml:space="preserve">Разделом 5 Соглашения №3 предусмотрено, что в случае неисполнения или ненадлежащего исполнения обязательств, определенных данным Соглашением, </w:t>
      </w:r>
      <w:r w:rsidRPr="007D5F81">
        <w:rPr>
          <w:sz w:val="28"/>
          <w:szCs w:val="28"/>
        </w:rPr>
        <w:t>учреж</w:t>
      </w:r>
      <w:r w:rsidRPr="007D5F81">
        <w:rPr>
          <w:sz w:val="28"/>
          <w:szCs w:val="28"/>
        </w:rPr>
        <w:t>дение несет ответственность в соответствии с законодательством Российской Федерации.</w:t>
      </w:r>
    </w:p>
    <w:p w:rsidR="001C7243" w:rsidP="001C7243">
      <w:pPr>
        <w:pStyle w:val="BodyTextIndent"/>
        <w:suppressAutoHyphens/>
        <w:rPr>
          <w:sz w:val="28"/>
          <w:szCs w:val="28"/>
        </w:rPr>
      </w:pPr>
      <w:r w:rsidRPr="007D5F81">
        <w:rPr>
          <w:sz w:val="28"/>
          <w:szCs w:val="28"/>
        </w:rPr>
        <w:t xml:space="preserve">В ходе исполнения договора от 17.01.2025 №02-25 (далее - контракт), заключенного с индивидуальным предпринимателем </w:t>
      </w:r>
      <w:r>
        <w:rPr>
          <w:sz w:val="28"/>
          <w:szCs w:val="28"/>
          <w:lang w:val="ru-RU"/>
        </w:rPr>
        <w:t xml:space="preserve"> </w:t>
      </w:r>
      <w:r w:rsidRPr="007D5F81">
        <w:rPr>
          <w:sz w:val="28"/>
          <w:szCs w:val="28"/>
        </w:rPr>
        <w:t>Ивановой С.С. на сум</w:t>
      </w:r>
      <w:r>
        <w:rPr>
          <w:sz w:val="28"/>
          <w:szCs w:val="28"/>
        </w:rPr>
        <w:t>му 279 900,00 руб., учреждением</w:t>
      </w:r>
      <w:r>
        <w:rPr>
          <w:sz w:val="28"/>
          <w:szCs w:val="28"/>
          <w:lang w:val="ru-RU"/>
        </w:rPr>
        <w:t xml:space="preserve"> </w:t>
      </w:r>
      <w:r w:rsidRPr="007D5F81">
        <w:rPr>
          <w:sz w:val="28"/>
          <w:szCs w:val="28"/>
        </w:rPr>
        <w:t>пла</w:t>
      </w:r>
      <w:r w:rsidRPr="007D5F81">
        <w:rPr>
          <w:sz w:val="28"/>
          <w:szCs w:val="28"/>
        </w:rPr>
        <w:t>тежным поручением от 21.01.2025 №</w:t>
      </w:r>
      <w:r>
        <w:rPr>
          <w:sz w:val="28"/>
          <w:szCs w:val="28"/>
          <w:lang w:val="ru-RU"/>
        </w:rPr>
        <w:t xml:space="preserve"> </w:t>
      </w:r>
      <w:r w:rsidRPr="007D5F81">
        <w:rPr>
          <w:sz w:val="28"/>
          <w:szCs w:val="28"/>
        </w:rPr>
        <w:t>16 (проведено 24.01.2025) произведена неправомерная оплата на общую сумму 33</w:t>
      </w:r>
      <w:r>
        <w:rPr>
          <w:sz w:val="28"/>
          <w:szCs w:val="28"/>
          <w:lang w:val="ru-RU"/>
        </w:rPr>
        <w:t> </w:t>
      </w:r>
      <w:r w:rsidRPr="007D5F81">
        <w:rPr>
          <w:sz w:val="28"/>
          <w:szCs w:val="28"/>
        </w:rPr>
        <w:t xml:space="preserve">950 руб. постеров, поставленных согласно универсальному передаточному документу от 17.01.2025 №5 (далее - УПД), за счет средств субсидии на </w:t>
      </w:r>
      <w:r w:rsidRPr="007D5F81">
        <w:rPr>
          <w:sz w:val="28"/>
          <w:szCs w:val="28"/>
        </w:rPr>
        <w:t>финансовое обеспечение выполнения муниципального задания за счет средств бюджета Ханты-Мансийского автономного округа - Югры (субвенции) на реализацию прав на получение общедоступного и бесплатного дошкольного образования в муниципальных дошкольных образов</w:t>
      </w:r>
      <w:r w:rsidRPr="007D5F81">
        <w:rPr>
          <w:sz w:val="28"/>
          <w:szCs w:val="28"/>
        </w:rPr>
        <w:t>ательных организациях, код субсидии 006.10.0103 (далее - КС 006.10.0103), предоставленной учреждению соглашением о порядке и условиях предоставления и использования субсидии на финансовое обеспечение выполнения муниципального задания на оказание муниципаль</w:t>
      </w:r>
      <w:r w:rsidRPr="007D5F81">
        <w:rPr>
          <w:sz w:val="28"/>
          <w:szCs w:val="28"/>
        </w:rPr>
        <w:t>ных услуг (выполнение работ) от 28.12.2024 №3 (далее - Соглашение №3).</w:t>
      </w:r>
    </w:p>
    <w:p w:rsidR="007D5F81" w:rsidRPr="007D5F81" w:rsidP="00653200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>Учитывая вышеизложенное, средства субсидии КС 006.10.0103, источником финансового обеспечения которой являлся бюджет Ханты-Мансийского автономного округа</w:t>
      </w:r>
      <w:r w:rsidR="00653200">
        <w:rPr>
          <w:sz w:val="28"/>
          <w:szCs w:val="28"/>
        </w:rPr>
        <w:t xml:space="preserve"> </w:t>
      </w:r>
      <w:r w:rsidRPr="007D5F81">
        <w:rPr>
          <w:sz w:val="28"/>
          <w:szCs w:val="28"/>
        </w:rPr>
        <w:t>- Югры, могли быть направлены т</w:t>
      </w:r>
      <w:r w:rsidRPr="007D5F81">
        <w:rPr>
          <w:sz w:val="28"/>
          <w:szCs w:val="28"/>
        </w:rPr>
        <w:t>олько на обеспечение расходов учреждения на оплату труда работников муниципальных дошкольных образовательных организаций, дополнительное профессиональное образование педагогических работников, приобретение учебников и учебных пособий, средств обучения, игр</w:t>
      </w:r>
      <w:r w:rsidRPr="007D5F81">
        <w:rPr>
          <w:sz w:val="28"/>
          <w:szCs w:val="28"/>
        </w:rPr>
        <w:t>, игрушек, учитывая, что другие расходы, не связанные с финансовым обеспечением реализации основных образовательных программ в соответствии с федеральными государственными образовательными стандартами по предоставлению общедоступного и бесплатного дошкольн</w:t>
      </w:r>
      <w:r w:rsidRPr="007D5F81">
        <w:rPr>
          <w:sz w:val="28"/>
          <w:szCs w:val="28"/>
        </w:rPr>
        <w:t>ого образования в муниципальных дошкольных образовательных организациях по основным образовательным программам, должны быть осуществлены за счет средств соответствующей субсидии, источником финансового обеспечения которой является бюджет города, или за сче</w:t>
      </w:r>
      <w:r w:rsidRPr="007D5F81">
        <w:rPr>
          <w:sz w:val="28"/>
          <w:szCs w:val="28"/>
        </w:rPr>
        <w:t>т иного источника в соответствии с законодательством Российской Федерации.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>Согласно представленным учреждением документам, а также при проверке соответствия использования поставленного товара (постеров) целям осуществления закупки в ходе осмотра установлен</w:t>
      </w:r>
      <w:r w:rsidRPr="007D5F81">
        <w:rPr>
          <w:sz w:val="28"/>
          <w:szCs w:val="28"/>
        </w:rPr>
        <w:t>о, что демонстрационные комплекты "Пожарная безопасность", "Уголок ГО и ЧС" приобретены в целях информирования работников и посетителей объекта контроля о действиях при пожаре, авариях, стихийных бедствиях и других чрезвычайных ситуациях. При этом данные д</w:t>
      </w:r>
      <w:r w:rsidRPr="007D5F81">
        <w:rPr>
          <w:sz w:val="28"/>
          <w:szCs w:val="28"/>
        </w:rPr>
        <w:t>емонстрационные комплекты не являются средствами обучения, необходимыми для обеспечения государственных гарантий реализации прав на получение общедоступного и бесплатного дошкольного образования, на оплату которых могли быть направлены средства субсидии КС</w:t>
      </w:r>
      <w:r w:rsidRPr="007D5F81">
        <w:rPr>
          <w:sz w:val="28"/>
          <w:szCs w:val="28"/>
        </w:rPr>
        <w:t xml:space="preserve"> 006.10.0103.</w:t>
      </w:r>
    </w:p>
    <w:p w:rsidR="007D5F81" w:rsidRP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>Оплата поставленного товара на сумму 33 950,00 руб. произведена за счет средств субсидии КС 006.10.0103 на основании платежного поручения от 21.01.2025 №16 (проведено 24.04.2025).</w:t>
      </w:r>
    </w:p>
    <w:p w:rsidR="007D5F81" w:rsidP="007D5F81">
      <w:pPr>
        <w:ind w:firstLine="540"/>
        <w:jc w:val="both"/>
        <w:rPr>
          <w:sz w:val="28"/>
          <w:szCs w:val="28"/>
        </w:rPr>
      </w:pPr>
      <w:r w:rsidRPr="007D5F81">
        <w:rPr>
          <w:sz w:val="28"/>
          <w:szCs w:val="28"/>
        </w:rPr>
        <w:t>Таким образом, вследствие несоблюдения вышеперечисленных услов</w:t>
      </w:r>
      <w:r w:rsidRPr="007D5F81">
        <w:rPr>
          <w:sz w:val="28"/>
          <w:szCs w:val="28"/>
        </w:rPr>
        <w:t>ий Соглашения №</w:t>
      </w:r>
      <w:r w:rsidR="00653200">
        <w:rPr>
          <w:sz w:val="28"/>
          <w:szCs w:val="28"/>
        </w:rPr>
        <w:t xml:space="preserve"> 3</w:t>
      </w:r>
      <w:r w:rsidRPr="007D5F81">
        <w:rPr>
          <w:sz w:val="28"/>
          <w:szCs w:val="28"/>
        </w:rPr>
        <w:t xml:space="preserve"> учреждением в связи с неправомерным направлением 24.01.2025 платежным поручением от 21.01.2025 №16 денежных средств на сумму 33 950,00 руб. на оплату постеров, поставленных согласно УПД от 17.01.2025 №5, не являющимися средством обучения,</w:t>
      </w:r>
      <w:r w:rsidRPr="007D5F81">
        <w:rPr>
          <w:sz w:val="28"/>
          <w:szCs w:val="28"/>
        </w:rPr>
        <w:t xml:space="preserve"> за счет средств субсидии на финансовое обеспечение выполнения муниципального задания КС 006.10.0103, источником финансового обеспечения которой являлся бюджет Ханты- Мансийского автономного округа</w:t>
      </w:r>
      <w:r w:rsidR="001C7243">
        <w:rPr>
          <w:sz w:val="28"/>
          <w:szCs w:val="28"/>
        </w:rPr>
        <w:t>-</w:t>
      </w:r>
      <w:r w:rsidRPr="007D5F81">
        <w:rPr>
          <w:sz w:val="28"/>
          <w:szCs w:val="28"/>
        </w:rPr>
        <w:t>Югры</w:t>
      </w:r>
      <w:r w:rsidR="001C7243">
        <w:rPr>
          <w:sz w:val="28"/>
          <w:szCs w:val="28"/>
        </w:rPr>
        <w:t xml:space="preserve">, допущено нецелевое использование денежных средств. </w:t>
      </w:r>
    </w:p>
    <w:p w:rsidR="001766C3" w:rsidP="001766C3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BE1B22">
        <w:rPr>
          <w:sz w:val="28"/>
          <w:szCs w:val="28"/>
        </w:rPr>
        <w:t xml:space="preserve">В ходе рассмотрения дела установлен факт несоблюдения </w:t>
      </w:r>
      <w:r>
        <w:rPr>
          <w:sz w:val="28"/>
          <w:szCs w:val="28"/>
        </w:rPr>
        <w:t xml:space="preserve">юридическим лицом - </w:t>
      </w:r>
      <w:r w:rsidRPr="00653200" w:rsidR="00653200">
        <w:rPr>
          <w:sz w:val="28"/>
          <w:szCs w:val="28"/>
        </w:rPr>
        <w:t xml:space="preserve">МБДОУ ДС № 31 «Медвежонок» </w:t>
      </w:r>
      <w:r w:rsidRPr="00BE1B22">
        <w:rPr>
          <w:sz w:val="28"/>
          <w:szCs w:val="28"/>
        </w:rPr>
        <w:t>вышеперечисленных условий Соглашения №</w:t>
      </w:r>
      <w:r w:rsidR="00653200">
        <w:rPr>
          <w:sz w:val="28"/>
          <w:szCs w:val="28"/>
        </w:rPr>
        <w:t xml:space="preserve"> 3</w:t>
      </w:r>
      <w:r w:rsidRPr="00BE1B22">
        <w:rPr>
          <w:sz w:val="28"/>
          <w:szCs w:val="28"/>
        </w:rPr>
        <w:t>, выразившийся в неправомерном направлении денежных средств по вышеуказанны</w:t>
      </w:r>
      <w:r>
        <w:rPr>
          <w:sz w:val="28"/>
          <w:szCs w:val="28"/>
        </w:rPr>
        <w:t xml:space="preserve">м платежным поручениям в сумме </w:t>
      </w:r>
      <w:r w:rsidR="00653200">
        <w:rPr>
          <w:sz w:val="28"/>
          <w:szCs w:val="28"/>
        </w:rPr>
        <w:t>33 950,00</w:t>
      </w:r>
      <w:r>
        <w:rPr>
          <w:sz w:val="28"/>
          <w:szCs w:val="28"/>
        </w:rPr>
        <w:t xml:space="preserve"> руб.</w:t>
      </w:r>
    </w:p>
    <w:p w:rsidR="00653200" w:rsidP="001766C3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653200">
        <w:rPr>
          <w:sz w:val="28"/>
          <w:szCs w:val="28"/>
        </w:rPr>
        <w:t xml:space="preserve">Нарушение на сумму 33 950,00 руб. устранено путем перечисления денежных средств на лицевой счет учреждения в сумме 42 350,00 руб., </w:t>
      </w:r>
      <w:r w:rsidR="001C7243">
        <w:rPr>
          <w:sz w:val="28"/>
          <w:szCs w:val="28"/>
        </w:rPr>
        <w:t xml:space="preserve">что подтверждается </w:t>
      </w:r>
      <w:r w:rsidRPr="00653200">
        <w:rPr>
          <w:sz w:val="28"/>
          <w:szCs w:val="28"/>
        </w:rPr>
        <w:t>платежн</w:t>
      </w:r>
      <w:r w:rsidR="001C7243">
        <w:rPr>
          <w:sz w:val="28"/>
          <w:szCs w:val="28"/>
        </w:rPr>
        <w:t>ым</w:t>
      </w:r>
      <w:r w:rsidRPr="00653200">
        <w:rPr>
          <w:sz w:val="28"/>
          <w:szCs w:val="28"/>
        </w:rPr>
        <w:t xml:space="preserve"> поручение</w:t>
      </w:r>
      <w:r w:rsidR="001C7243">
        <w:rPr>
          <w:sz w:val="28"/>
          <w:szCs w:val="28"/>
        </w:rPr>
        <w:t>м</w:t>
      </w:r>
      <w:r w:rsidRPr="00653200">
        <w:rPr>
          <w:sz w:val="28"/>
          <w:szCs w:val="28"/>
        </w:rPr>
        <w:t xml:space="preserve"> от 12.03.2026 №823691.</w:t>
      </w:r>
    </w:p>
    <w:p w:rsidR="000813DF" w:rsidRPr="00D77B12" w:rsidP="001766C3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4A4F20">
        <w:rPr>
          <w:sz w:val="28"/>
          <w:szCs w:val="28"/>
        </w:rPr>
        <w:t>В соответствии со статьей 15.14 Кодекса Российской Федер</w:t>
      </w:r>
      <w:r w:rsidRPr="004A4F20">
        <w:rPr>
          <w:sz w:val="28"/>
          <w:szCs w:val="28"/>
        </w:rPr>
        <w:t>ации об административных правонарушениях нецелевое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целям, о</w:t>
      </w:r>
      <w:r w:rsidRPr="004A4F20">
        <w:rPr>
          <w:sz w:val="28"/>
          <w:szCs w:val="28"/>
        </w:rPr>
        <w:t>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полученных</w:t>
      </w:r>
      <w:r w:rsidRPr="004A4F20">
        <w:rPr>
          <w:sz w:val="28"/>
          <w:szCs w:val="28"/>
        </w:rPr>
        <w:t xml:space="preserve"> из бюджета </w:t>
      </w:r>
      <w:r w:rsidRPr="00A47A0A">
        <w:rPr>
          <w:sz w:val="28"/>
          <w:szCs w:val="28"/>
        </w:rPr>
        <w:t>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если такое действие не содержит </w:t>
      </w:r>
      <w:hyperlink r:id="rId5" w:anchor="/document/10108000/entry/2851" w:history="1">
        <w:r w:rsidRPr="0035103B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A47A0A">
        <w:rPr>
          <w:sz w:val="28"/>
          <w:szCs w:val="28"/>
        </w:rPr>
        <w:t xml:space="preserve"> деяния, влечет наложение административного штрафа </w:t>
      </w:r>
      <w:r w:rsidRPr="00D77B12">
        <w:rPr>
          <w:sz w:val="28"/>
          <w:szCs w:val="28"/>
        </w:rPr>
        <w:t>на юридических лиц от 5 до 25 процентов суммы средств, полученных из бюджета бюджетной системы Российской Федерации, исполь</w:t>
      </w:r>
      <w:r w:rsidRPr="00D77B12">
        <w:rPr>
          <w:sz w:val="28"/>
          <w:szCs w:val="28"/>
        </w:rPr>
        <w:t xml:space="preserve">зованных не по целевому назначению. </w:t>
      </w:r>
    </w:p>
    <w:p w:rsidR="00344637" w:rsidRPr="00156F96" w:rsidP="001766C3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D77B12">
        <w:rPr>
          <w:sz w:val="28"/>
          <w:szCs w:val="28"/>
        </w:rPr>
        <w:t xml:space="preserve">Данное правонарушение характеризуется совершением конкретной платежно-расчетной </w:t>
      </w:r>
      <w:r w:rsidRPr="00156F96">
        <w:rPr>
          <w:sz w:val="28"/>
          <w:szCs w:val="28"/>
        </w:rPr>
        <w:t xml:space="preserve">операции по нецелевому расходованию бюджетных средств и завершенностью в момент осуществления операции. </w:t>
      </w:r>
    </w:p>
    <w:p w:rsidR="00344637" w:rsidRPr="00156F96" w:rsidP="001766C3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156F96">
        <w:rPr>
          <w:sz w:val="28"/>
          <w:szCs w:val="28"/>
        </w:rPr>
        <w:t xml:space="preserve">Все собранные по делу об </w:t>
      </w:r>
      <w:r w:rsidRPr="00156F96">
        <w:rPr>
          <w:sz w:val="28"/>
          <w:szCs w:val="28"/>
        </w:rPr>
        <w:t>административном правонарушении доказательства, представленные административным органом, являются допустимыми, достоверными и достаточными в соответствии с требованиями </w:t>
      </w:r>
      <w:hyperlink r:id="rId5" w:anchor="/document/12125267/entry/2611" w:history="1">
        <w:r w:rsidRPr="00156F96">
          <w:rPr>
            <w:rStyle w:val="Hyperlink"/>
            <w:color w:val="auto"/>
            <w:sz w:val="28"/>
            <w:szCs w:val="28"/>
            <w:u w:val="none"/>
          </w:rPr>
          <w:t>статьи 26.11</w:t>
        </w:r>
      </w:hyperlink>
      <w:r w:rsidRPr="00156F96">
        <w:rPr>
          <w:sz w:val="28"/>
          <w:szCs w:val="28"/>
        </w:rPr>
        <w:t xml:space="preserve"> КоАП РФ и свидетельствуют о виновности юридического лица – </w:t>
      </w:r>
      <w:r w:rsidRPr="00653200" w:rsidR="00653200">
        <w:rPr>
          <w:sz w:val="28"/>
          <w:szCs w:val="28"/>
        </w:rPr>
        <w:t xml:space="preserve">МБДОУ ДС № 31 «Медвежонок» </w:t>
      </w:r>
      <w:r w:rsidRPr="00156F96">
        <w:rPr>
          <w:sz w:val="28"/>
          <w:szCs w:val="28"/>
        </w:rPr>
        <w:t>в совершении указанного административного правонарушения.</w:t>
      </w:r>
    </w:p>
    <w:p w:rsidR="0045263D" w:rsidP="001766C3">
      <w:pPr>
        <w:autoSpaceDE w:val="0"/>
        <w:autoSpaceDN w:val="0"/>
        <w:adjustRightInd w:val="0"/>
        <w:ind w:firstLine="540"/>
        <w:jc w:val="both"/>
        <w:rPr>
          <w:rFonts w:ascii="Arial" w:hAnsi="Arial" w:eastAsiaTheme="minorHAnsi" w:cs="Arial"/>
          <w:lang w:eastAsia="en-US"/>
        </w:rPr>
      </w:pPr>
      <w:r>
        <w:rPr>
          <w:sz w:val="28"/>
          <w:szCs w:val="28"/>
        </w:rPr>
        <w:t>Оценивая доказательства в их совокупности, мировой судья квалифицирует</w:t>
      </w:r>
      <w:r w:rsidR="008819D2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действия по </w:t>
      </w:r>
      <w:r w:rsidR="008819D2">
        <w:rPr>
          <w:sz w:val="28"/>
          <w:szCs w:val="28"/>
        </w:rPr>
        <w:t>ст. 15.14</w:t>
      </w:r>
      <w:r>
        <w:rPr>
          <w:sz w:val="28"/>
          <w:szCs w:val="28"/>
        </w:rPr>
        <w:t xml:space="preserve"> Кодекса Россий</w:t>
      </w:r>
      <w:r>
        <w:rPr>
          <w:sz w:val="28"/>
          <w:szCs w:val="28"/>
        </w:rPr>
        <w:t xml:space="preserve">ской Федерации об административных правонарушениях.  </w:t>
      </w:r>
    </w:p>
    <w:p w:rsidR="001947BF" w:rsidRPr="001947BF" w:rsidP="001766C3">
      <w:pPr>
        <w:pStyle w:val="BodyTextIndent"/>
        <w:suppressAutoHyphens/>
        <w:rPr>
          <w:sz w:val="28"/>
          <w:szCs w:val="28"/>
          <w:lang w:val="ru-RU"/>
        </w:rPr>
      </w:pPr>
      <w:r w:rsidRPr="001947BF">
        <w:rPr>
          <w:sz w:val="28"/>
          <w:szCs w:val="28"/>
          <w:lang w:val="ru-RU"/>
        </w:rPr>
        <w:t xml:space="preserve">В соответствии с частью 1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</w:t>
      </w:r>
      <w:r w:rsidRPr="001947BF">
        <w:rPr>
          <w:sz w:val="28"/>
          <w:szCs w:val="28"/>
          <w:lang w:val="ru-RU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</w:t>
      </w:r>
      <w:r w:rsidRPr="001947BF">
        <w:rPr>
          <w:sz w:val="28"/>
          <w:szCs w:val="28"/>
          <w:lang w:val="ru-RU"/>
        </w:rPr>
        <w:t>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</w:t>
      </w:r>
      <w:r w:rsidRPr="001947BF">
        <w:rPr>
          <w:sz w:val="28"/>
          <w:szCs w:val="28"/>
          <w:lang w:val="ru-RU"/>
        </w:rPr>
        <w:t xml:space="preserve"> настоящей статьи.</w:t>
      </w:r>
    </w:p>
    <w:p w:rsidR="001947BF" w:rsidRPr="001947BF" w:rsidP="001766C3">
      <w:pPr>
        <w:pStyle w:val="BodyTextIndent"/>
        <w:suppressAutoHyphens/>
        <w:rPr>
          <w:sz w:val="28"/>
          <w:szCs w:val="28"/>
          <w:lang w:val="ru-RU"/>
        </w:rPr>
      </w:pPr>
      <w:r w:rsidRPr="001947BF">
        <w:rPr>
          <w:sz w:val="28"/>
          <w:szCs w:val="28"/>
          <w:lang w:val="ru-RU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</w:t>
      </w:r>
      <w:r w:rsidRPr="001947BF">
        <w:rPr>
          <w:sz w:val="28"/>
          <w:szCs w:val="28"/>
          <w:lang w:val="ru-RU"/>
        </w:rPr>
        <w:t>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</w:t>
      </w:r>
      <w:r w:rsidRPr="001947BF">
        <w:rPr>
          <w:sz w:val="28"/>
          <w:szCs w:val="28"/>
          <w:lang w:val="ru-RU"/>
        </w:rPr>
        <w:t xml:space="preserve"> и техногенного характера, а также при отсутствии имущественного ущерба.</w:t>
      </w:r>
    </w:p>
    <w:p w:rsidR="001947BF" w:rsidRPr="001947BF" w:rsidP="001766C3">
      <w:pPr>
        <w:pStyle w:val="BodyTextIndent"/>
        <w:suppressAutoHyphens/>
        <w:rPr>
          <w:sz w:val="28"/>
          <w:szCs w:val="28"/>
          <w:lang w:val="ru-RU"/>
        </w:rPr>
      </w:pPr>
      <w:r w:rsidRPr="001947BF">
        <w:rPr>
          <w:sz w:val="28"/>
          <w:szCs w:val="28"/>
          <w:lang w:val="ru-RU"/>
        </w:rPr>
        <w:t>По смыслу взаимосвязанных положений части 2 статьи 3.4 и части 1 статьи 4.1.1 Кодекса Российской Федерации об административных правонарушениях, в отсутствие совокупности всех упомянут</w:t>
      </w:r>
      <w:r w:rsidRPr="001947BF">
        <w:rPr>
          <w:sz w:val="28"/>
          <w:szCs w:val="28"/>
          <w:lang w:val="ru-RU"/>
        </w:rPr>
        <w:t>ых обстоятельств (условий применения административного наказания в виде предупреждения) возможность замены административного наказания в виде административного штрафа на предупреждение не допускается.</w:t>
      </w:r>
    </w:p>
    <w:p w:rsidR="001947BF" w:rsidRPr="001947BF" w:rsidP="001766C3">
      <w:pPr>
        <w:pStyle w:val="BodyTextIndent"/>
        <w:suppressAutoHyphens/>
        <w:rPr>
          <w:sz w:val="28"/>
          <w:szCs w:val="28"/>
          <w:lang w:val="ru-RU"/>
        </w:rPr>
      </w:pPr>
      <w:r w:rsidRPr="001947BF">
        <w:rPr>
          <w:sz w:val="28"/>
          <w:szCs w:val="28"/>
          <w:lang w:val="ru-RU"/>
        </w:rPr>
        <w:t>Согласно части 2 статьи 4.1.1 Кодекса Российской Федера</w:t>
      </w:r>
      <w:r w:rsidRPr="001947BF">
        <w:rPr>
          <w:sz w:val="28"/>
          <w:szCs w:val="28"/>
          <w:lang w:val="ru-RU"/>
        </w:rPr>
        <w:t>ции об административных правонарушениях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</w:t>
      </w:r>
      <w:r w:rsidRPr="001947BF">
        <w:rPr>
          <w:sz w:val="28"/>
          <w:szCs w:val="28"/>
          <w:lang w:val="ru-RU"/>
        </w:rPr>
        <w:t>1, 15.27.3, 15.30, 19.3, 19.5, 19.5.1, 19.6, 19.8 - 19.8.2, 19.23, частями 2 и 3 статьи 19.27, статьями 19.28, 19.29, 19.30, 19.33, 19.34, 20.3, частью 2 статьи 20.28 настоящего Кодекса.</w:t>
      </w:r>
    </w:p>
    <w:p w:rsidR="001947BF" w:rsidP="001766C3">
      <w:pPr>
        <w:pStyle w:val="BodyTextIndent"/>
        <w:suppressAutoHyphens/>
        <w:rPr>
          <w:sz w:val="28"/>
          <w:szCs w:val="28"/>
          <w:lang w:val="ru-RU"/>
        </w:rPr>
      </w:pPr>
      <w:r w:rsidRPr="001947BF">
        <w:rPr>
          <w:sz w:val="28"/>
          <w:szCs w:val="28"/>
          <w:lang w:val="ru-RU"/>
        </w:rPr>
        <w:t>Таким образом, административное правонарушение, предусмотренное стать</w:t>
      </w:r>
      <w:r w:rsidRPr="001947BF">
        <w:rPr>
          <w:sz w:val="28"/>
          <w:szCs w:val="28"/>
          <w:lang w:val="ru-RU"/>
        </w:rPr>
        <w:t>ей 15.14 Кодекса Российской Федерации об административных правонарушениях, не отнесено к правонарушениям, при совершении которых недопустима замена административного штрафа на предупреждение, что позволяет суду оценивать имеющие значение для дела обстоятел</w:t>
      </w:r>
      <w:r w:rsidRPr="001947BF">
        <w:rPr>
          <w:sz w:val="28"/>
          <w:szCs w:val="28"/>
          <w:lang w:val="ru-RU"/>
        </w:rPr>
        <w:t>ьства в каждом конкретном случае по своему внутреннему убеждению.</w:t>
      </w:r>
    </w:p>
    <w:p w:rsidR="001947BF" w:rsidRPr="001947BF" w:rsidP="001766C3">
      <w:pPr>
        <w:pStyle w:val="BodyTextIndent"/>
        <w:suppressAutoHyphens/>
        <w:rPr>
          <w:sz w:val="28"/>
          <w:szCs w:val="28"/>
        </w:rPr>
      </w:pPr>
      <w:r w:rsidRPr="001947BF">
        <w:rPr>
          <w:sz w:val="28"/>
          <w:szCs w:val="28"/>
        </w:rPr>
        <w:t xml:space="preserve">Учитывая данное обстоятельство, а также то, что совершенное </w:t>
      </w:r>
      <w:r>
        <w:rPr>
          <w:sz w:val="28"/>
          <w:szCs w:val="28"/>
          <w:lang w:val="ru-RU"/>
        </w:rPr>
        <w:t xml:space="preserve">учреждением </w:t>
      </w:r>
      <w:r w:rsidRPr="001947BF">
        <w:rPr>
          <w:sz w:val="28"/>
          <w:szCs w:val="28"/>
        </w:rPr>
        <w:t xml:space="preserve">деяние не повлекло причинения вреда или угрозы причинения вреда жизни и </w:t>
      </w:r>
      <w:r w:rsidRPr="001947BF">
        <w:rPr>
          <w:sz w:val="28"/>
          <w:szCs w:val="28"/>
        </w:rPr>
        <w:t>здоровью людей, объектам животного и раститель</w:t>
      </w:r>
      <w:r w:rsidRPr="001947BF">
        <w:rPr>
          <w:sz w:val="28"/>
          <w:szCs w:val="28"/>
        </w:rPr>
        <w:t>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имущественного ущерба, судья находит возмож</w:t>
      </w:r>
      <w:r w:rsidRPr="001947BF">
        <w:rPr>
          <w:sz w:val="28"/>
          <w:szCs w:val="28"/>
        </w:rPr>
        <w:t>ным замену наказания в виде штрафа предупреждением.</w:t>
      </w:r>
    </w:p>
    <w:p w:rsidR="00C5576E" w:rsidRPr="008E7F97" w:rsidP="001766C3">
      <w:pPr>
        <w:pStyle w:val="BodyTextIndent"/>
        <w:suppressAutoHyphens/>
        <w:rPr>
          <w:sz w:val="28"/>
          <w:szCs w:val="28"/>
        </w:rPr>
      </w:pPr>
      <w:r w:rsidRPr="008E7F97">
        <w:rPr>
          <w:sz w:val="28"/>
          <w:szCs w:val="28"/>
        </w:rPr>
        <w:t>Руководствуясь ст</w:t>
      </w:r>
      <w:r>
        <w:rPr>
          <w:sz w:val="28"/>
          <w:szCs w:val="28"/>
          <w:lang w:val="ru-RU"/>
        </w:rPr>
        <w:t>атьями</w:t>
      </w:r>
      <w:r w:rsidR="008819D2">
        <w:rPr>
          <w:sz w:val="28"/>
          <w:szCs w:val="28"/>
        </w:rPr>
        <w:t xml:space="preserve"> 29.9, 29.10</w:t>
      </w:r>
      <w:r w:rsidR="008819D2">
        <w:rPr>
          <w:sz w:val="28"/>
          <w:szCs w:val="28"/>
          <w:lang w:val="ru-RU"/>
        </w:rPr>
        <w:t xml:space="preserve">  и</w:t>
      </w:r>
      <w:r w:rsidRPr="008E7F97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32.2 </w:t>
      </w:r>
      <w:r w:rsidRPr="008E7F97">
        <w:rPr>
          <w:sz w:val="28"/>
          <w:szCs w:val="28"/>
        </w:rPr>
        <w:t>Кодекса Российской Федерации об административных правонарушениях, мировой судья</w:t>
      </w:r>
    </w:p>
    <w:p w:rsidR="00C5576E" w:rsidRPr="008E7F97" w:rsidP="001766C3">
      <w:pPr>
        <w:pStyle w:val="BodyTextIndent"/>
        <w:suppressAutoHyphens/>
        <w:rPr>
          <w:sz w:val="28"/>
          <w:szCs w:val="28"/>
        </w:rPr>
      </w:pPr>
    </w:p>
    <w:p w:rsidR="00C5576E" w:rsidP="001766C3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ПОСТАНОВИЛ:</w:t>
      </w:r>
    </w:p>
    <w:p w:rsidR="006B3D5C" w:rsidRPr="008E7F97" w:rsidP="001766C3">
      <w:pPr>
        <w:ind w:firstLine="540"/>
        <w:jc w:val="center"/>
        <w:rPr>
          <w:sz w:val="28"/>
          <w:szCs w:val="28"/>
        </w:rPr>
      </w:pPr>
    </w:p>
    <w:p w:rsidR="00067EA3" w:rsidP="001766C3">
      <w:pPr>
        <w:pStyle w:val="BodyTextIndent"/>
        <w:suppressAutoHyphens/>
        <w:rPr>
          <w:sz w:val="28"/>
          <w:szCs w:val="28"/>
          <w:lang w:val="ru-RU"/>
        </w:rPr>
      </w:pPr>
      <w:r w:rsidRPr="00653200">
        <w:rPr>
          <w:sz w:val="28"/>
          <w:szCs w:val="28"/>
          <w:lang w:val="ru-RU"/>
        </w:rPr>
        <w:t>муниципально</w:t>
      </w:r>
      <w:r w:rsidR="001C7243">
        <w:rPr>
          <w:sz w:val="28"/>
          <w:szCs w:val="28"/>
          <w:lang w:val="ru-RU"/>
        </w:rPr>
        <w:t>е</w:t>
      </w:r>
      <w:r w:rsidRPr="00653200">
        <w:rPr>
          <w:sz w:val="28"/>
          <w:szCs w:val="28"/>
          <w:lang w:val="ru-RU"/>
        </w:rPr>
        <w:t xml:space="preserve"> бюджетно</w:t>
      </w:r>
      <w:r w:rsidR="001C7243">
        <w:rPr>
          <w:sz w:val="28"/>
          <w:szCs w:val="28"/>
          <w:lang w:val="ru-RU"/>
        </w:rPr>
        <w:t>е</w:t>
      </w:r>
      <w:r w:rsidRPr="00653200">
        <w:rPr>
          <w:sz w:val="28"/>
          <w:szCs w:val="28"/>
          <w:lang w:val="ru-RU"/>
        </w:rPr>
        <w:t xml:space="preserve"> дошкольно</w:t>
      </w:r>
      <w:r w:rsidR="001C7243">
        <w:rPr>
          <w:sz w:val="28"/>
          <w:szCs w:val="28"/>
          <w:lang w:val="ru-RU"/>
        </w:rPr>
        <w:t>е</w:t>
      </w:r>
      <w:r w:rsidRPr="00653200">
        <w:rPr>
          <w:sz w:val="28"/>
          <w:szCs w:val="28"/>
          <w:lang w:val="ru-RU"/>
        </w:rPr>
        <w:t xml:space="preserve"> образовательно</w:t>
      </w:r>
      <w:r w:rsidR="001C7243">
        <w:rPr>
          <w:sz w:val="28"/>
          <w:szCs w:val="28"/>
          <w:lang w:val="ru-RU"/>
        </w:rPr>
        <w:t>е</w:t>
      </w:r>
      <w:r w:rsidRPr="00653200">
        <w:rPr>
          <w:sz w:val="28"/>
          <w:szCs w:val="28"/>
          <w:lang w:val="ru-RU"/>
        </w:rPr>
        <w:t xml:space="preserve"> учреждени</w:t>
      </w:r>
      <w:r w:rsidR="001C7243">
        <w:rPr>
          <w:sz w:val="28"/>
          <w:szCs w:val="28"/>
          <w:lang w:val="ru-RU"/>
        </w:rPr>
        <w:t>е</w:t>
      </w:r>
      <w:r w:rsidRPr="00653200">
        <w:rPr>
          <w:sz w:val="28"/>
          <w:szCs w:val="28"/>
          <w:lang w:val="ru-RU"/>
        </w:rPr>
        <w:t xml:space="preserve"> детск</w:t>
      </w:r>
      <w:r w:rsidR="001C7243">
        <w:rPr>
          <w:sz w:val="28"/>
          <w:szCs w:val="28"/>
          <w:lang w:val="ru-RU"/>
        </w:rPr>
        <w:t>ий</w:t>
      </w:r>
      <w:r w:rsidRPr="00653200">
        <w:rPr>
          <w:sz w:val="28"/>
          <w:szCs w:val="28"/>
          <w:lang w:val="ru-RU"/>
        </w:rPr>
        <w:t xml:space="preserve"> сад № 31 «Медвежонок»</w:t>
      </w:r>
      <w:r w:rsidR="004A36DD">
        <w:rPr>
          <w:sz w:val="28"/>
          <w:szCs w:val="28"/>
          <w:lang w:val="ru-RU"/>
        </w:rPr>
        <w:t xml:space="preserve"> </w:t>
      </w:r>
      <w:r w:rsidRPr="008E7F97" w:rsidR="00C5576E">
        <w:rPr>
          <w:sz w:val="28"/>
          <w:szCs w:val="28"/>
        </w:rPr>
        <w:t>признать виновн</w:t>
      </w:r>
      <w:r w:rsidR="00C5576E">
        <w:rPr>
          <w:sz w:val="28"/>
          <w:szCs w:val="28"/>
          <w:lang w:val="ru-RU"/>
        </w:rPr>
        <w:t xml:space="preserve">ым </w:t>
      </w:r>
      <w:r w:rsidRPr="008E7F97" w:rsidR="00C5576E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ст.1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14</w:t>
      </w:r>
      <w:r w:rsidRPr="008E7F97" w:rsidR="00C5576E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C5576E">
        <w:rPr>
          <w:sz w:val="28"/>
          <w:szCs w:val="28"/>
        </w:rPr>
        <w:t>,</w:t>
      </w:r>
      <w:r w:rsidRPr="008E7F97" w:rsidR="00C5576E">
        <w:rPr>
          <w:sz w:val="28"/>
          <w:szCs w:val="28"/>
        </w:rPr>
        <w:t xml:space="preserve"> и назначить наказание в виде</w:t>
      </w:r>
      <w:r w:rsidR="00934E8B">
        <w:rPr>
          <w:sz w:val="28"/>
          <w:szCs w:val="28"/>
          <w:lang w:val="ru-RU"/>
        </w:rPr>
        <w:t xml:space="preserve"> предупреждения</w:t>
      </w:r>
      <w:r>
        <w:rPr>
          <w:sz w:val="28"/>
          <w:szCs w:val="28"/>
          <w:lang w:val="ru-RU"/>
        </w:rPr>
        <w:t xml:space="preserve">. </w:t>
      </w:r>
    </w:p>
    <w:p w:rsidR="00934E8B" w:rsidRPr="00934E8B" w:rsidP="001766C3">
      <w:pPr>
        <w:ind w:firstLine="540"/>
        <w:jc w:val="both"/>
        <w:rPr>
          <w:sz w:val="28"/>
          <w:szCs w:val="28"/>
        </w:rPr>
      </w:pPr>
      <w:r w:rsidRPr="00934E8B">
        <w:rPr>
          <w:sz w:val="28"/>
          <w:szCs w:val="28"/>
        </w:rPr>
        <w:t>Постановление может бы</w:t>
      </w:r>
      <w:r w:rsidRPr="00934E8B">
        <w:rPr>
          <w:sz w:val="28"/>
          <w:szCs w:val="28"/>
        </w:rPr>
        <w:t xml:space="preserve">ть обжаловано в Нижневартовский городской суд в течение десяти </w:t>
      </w:r>
      <w:r>
        <w:rPr>
          <w:sz w:val="28"/>
          <w:szCs w:val="28"/>
        </w:rPr>
        <w:t>дней</w:t>
      </w:r>
      <w:r w:rsidRPr="00934E8B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34E8B" w:rsidRPr="00934E8B" w:rsidP="001766C3">
      <w:pPr>
        <w:ind w:firstLine="540"/>
        <w:jc w:val="both"/>
        <w:rPr>
          <w:sz w:val="28"/>
          <w:szCs w:val="28"/>
        </w:rPr>
      </w:pPr>
    </w:p>
    <w:p w:rsidR="00934E8B" w:rsidRPr="00934E8B" w:rsidP="001766C3">
      <w:pPr>
        <w:ind w:firstLine="540"/>
        <w:jc w:val="both"/>
        <w:rPr>
          <w:sz w:val="28"/>
          <w:szCs w:val="28"/>
        </w:rPr>
      </w:pPr>
    </w:p>
    <w:p w:rsidR="00A25C7A" w:rsidRPr="00A25C7A" w:rsidP="00A25C7A">
      <w:pPr>
        <w:ind w:right="-5"/>
        <w:rPr>
          <w:rFonts w:eastAsia="MS Mincho"/>
          <w:bCs/>
          <w:sz w:val="28"/>
          <w:szCs w:val="28"/>
          <w:lang w:eastAsia="ru-RU"/>
        </w:rPr>
      </w:pPr>
      <w:r w:rsidRPr="00A25C7A">
        <w:rPr>
          <w:rFonts w:eastAsia="MS Mincho"/>
          <w:bCs/>
          <w:sz w:val="28"/>
          <w:szCs w:val="28"/>
          <w:lang w:eastAsia="ru-RU"/>
        </w:rPr>
        <w:t xml:space="preserve">Мировой судья                                                                            </w:t>
      </w:r>
      <w:r w:rsidRPr="00A25C7A">
        <w:rPr>
          <w:rFonts w:eastAsia="MS Mincho"/>
          <w:bCs/>
          <w:sz w:val="28"/>
          <w:szCs w:val="28"/>
          <w:lang w:eastAsia="ru-RU"/>
        </w:rPr>
        <w:t xml:space="preserve">          Т.А. Лаптева</w:t>
      </w:r>
    </w:p>
    <w:sectPr w:rsidSect="009A47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907" w:bottom="142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F20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4A4F20" w14:paraId="41B3DFF4" w14:textId="77777777"/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A4F20" w:rsidP="00A53AF3">
    <w:pPr>
      <w:pStyle w:val="Header"/>
      <w:ind w:right="360"/>
    </w:pPr>
  </w:p>
  <w:p w:rsidR="00C62A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1702AC" w:rsidR="001702AC">
      <w:rPr>
        <w:noProof/>
        <w:lang w:val="ru-RU"/>
      </w:rPr>
      <w:t>2</w:t>
    </w:r>
    <w:r>
      <w:fldChar w:fldCharType="end"/>
    </w:r>
  </w:p>
  <w:p w:rsidR="004A4F20">
    <w:pPr>
      <w:pStyle w:val="Header"/>
    </w:pPr>
  </w:p>
  <w:p w:rsidR="00C62A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0DC11CE"/>
    <w:multiLevelType w:val="multilevel"/>
    <w:tmpl w:val="5B3ED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6FFD"/>
    <w:rsid w:val="000443E9"/>
    <w:rsid w:val="00053E88"/>
    <w:rsid w:val="00064DA1"/>
    <w:rsid w:val="00067EA3"/>
    <w:rsid w:val="000778DA"/>
    <w:rsid w:val="000813DF"/>
    <w:rsid w:val="000A0953"/>
    <w:rsid w:val="000B4645"/>
    <w:rsid w:val="000C4737"/>
    <w:rsid w:val="000D7853"/>
    <w:rsid w:val="001046B4"/>
    <w:rsid w:val="001060FA"/>
    <w:rsid w:val="00134AD2"/>
    <w:rsid w:val="00156F96"/>
    <w:rsid w:val="00161EEC"/>
    <w:rsid w:val="001702AC"/>
    <w:rsid w:val="0017032E"/>
    <w:rsid w:val="001766C3"/>
    <w:rsid w:val="0018574D"/>
    <w:rsid w:val="001947BF"/>
    <w:rsid w:val="001A3067"/>
    <w:rsid w:val="001B67D5"/>
    <w:rsid w:val="001C7243"/>
    <w:rsid w:val="001D2498"/>
    <w:rsid w:val="001F5682"/>
    <w:rsid w:val="00201840"/>
    <w:rsid w:val="00204F09"/>
    <w:rsid w:val="0022382F"/>
    <w:rsid w:val="00295031"/>
    <w:rsid w:val="00296D9E"/>
    <w:rsid w:val="0029731F"/>
    <w:rsid w:val="002F35AB"/>
    <w:rsid w:val="003300E8"/>
    <w:rsid w:val="00332443"/>
    <w:rsid w:val="00344637"/>
    <w:rsid w:val="00347353"/>
    <w:rsid w:val="0035103B"/>
    <w:rsid w:val="003B25D6"/>
    <w:rsid w:val="00407BE7"/>
    <w:rsid w:val="004241DA"/>
    <w:rsid w:val="00432360"/>
    <w:rsid w:val="0045263D"/>
    <w:rsid w:val="00454ED5"/>
    <w:rsid w:val="00474236"/>
    <w:rsid w:val="00480606"/>
    <w:rsid w:val="00490AC7"/>
    <w:rsid w:val="00497B0E"/>
    <w:rsid w:val="004A36DD"/>
    <w:rsid w:val="004A4F20"/>
    <w:rsid w:val="004C1435"/>
    <w:rsid w:val="004D6EB0"/>
    <w:rsid w:val="004D79CB"/>
    <w:rsid w:val="00512AB1"/>
    <w:rsid w:val="00566599"/>
    <w:rsid w:val="00567E91"/>
    <w:rsid w:val="00597B8C"/>
    <w:rsid w:val="005A04CC"/>
    <w:rsid w:val="005D3608"/>
    <w:rsid w:val="005E6C66"/>
    <w:rsid w:val="00626B76"/>
    <w:rsid w:val="0063016B"/>
    <w:rsid w:val="00644BA6"/>
    <w:rsid w:val="00653200"/>
    <w:rsid w:val="006869B2"/>
    <w:rsid w:val="006A4332"/>
    <w:rsid w:val="006B3D5C"/>
    <w:rsid w:val="006C7D83"/>
    <w:rsid w:val="00715E0A"/>
    <w:rsid w:val="00724CF8"/>
    <w:rsid w:val="007274CB"/>
    <w:rsid w:val="0073185E"/>
    <w:rsid w:val="00747327"/>
    <w:rsid w:val="0076722E"/>
    <w:rsid w:val="00774BDC"/>
    <w:rsid w:val="007A56FE"/>
    <w:rsid w:val="007D5F81"/>
    <w:rsid w:val="0082151B"/>
    <w:rsid w:val="008819D2"/>
    <w:rsid w:val="008A17D8"/>
    <w:rsid w:val="008D518F"/>
    <w:rsid w:val="008E7F97"/>
    <w:rsid w:val="00922388"/>
    <w:rsid w:val="00934E8B"/>
    <w:rsid w:val="0096346F"/>
    <w:rsid w:val="00964D94"/>
    <w:rsid w:val="009717E3"/>
    <w:rsid w:val="00983611"/>
    <w:rsid w:val="00983E30"/>
    <w:rsid w:val="009A47FE"/>
    <w:rsid w:val="009B13D1"/>
    <w:rsid w:val="009D03D5"/>
    <w:rsid w:val="00A00376"/>
    <w:rsid w:val="00A03A41"/>
    <w:rsid w:val="00A03CCA"/>
    <w:rsid w:val="00A050D9"/>
    <w:rsid w:val="00A25C7A"/>
    <w:rsid w:val="00A33105"/>
    <w:rsid w:val="00A47A0A"/>
    <w:rsid w:val="00A53AF3"/>
    <w:rsid w:val="00A75EBE"/>
    <w:rsid w:val="00A8467B"/>
    <w:rsid w:val="00A95E2D"/>
    <w:rsid w:val="00B870BE"/>
    <w:rsid w:val="00BA0DA9"/>
    <w:rsid w:val="00BC425F"/>
    <w:rsid w:val="00BE19FC"/>
    <w:rsid w:val="00BE1B22"/>
    <w:rsid w:val="00C1436B"/>
    <w:rsid w:val="00C20499"/>
    <w:rsid w:val="00C23632"/>
    <w:rsid w:val="00C5576E"/>
    <w:rsid w:val="00C62ACC"/>
    <w:rsid w:val="00C63126"/>
    <w:rsid w:val="00C6716E"/>
    <w:rsid w:val="00C73ADD"/>
    <w:rsid w:val="00CC11BC"/>
    <w:rsid w:val="00D04BE9"/>
    <w:rsid w:val="00D469EF"/>
    <w:rsid w:val="00D5064F"/>
    <w:rsid w:val="00D77B12"/>
    <w:rsid w:val="00D8056D"/>
    <w:rsid w:val="00D829A7"/>
    <w:rsid w:val="00D83162"/>
    <w:rsid w:val="00D87009"/>
    <w:rsid w:val="00DC2BBD"/>
    <w:rsid w:val="00DF5B7A"/>
    <w:rsid w:val="00E05767"/>
    <w:rsid w:val="00E11703"/>
    <w:rsid w:val="00E20E55"/>
    <w:rsid w:val="00E23F7F"/>
    <w:rsid w:val="00E51B82"/>
    <w:rsid w:val="00E616CD"/>
    <w:rsid w:val="00EB5988"/>
    <w:rsid w:val="00EE7CFC"/>
    <w:rsid w:val="00F23C84"/>
    <w:rsid w:val="00F36A96"/>
    <w:rsid w:val="00F61BD3"/>
    <w:rsid w:val="00F804FC"/>
    <w:rsid w:val="00FB0469"/>
    <w:rsid w:val="00FD0F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F4C6BA-D5F3-4E40-927D-C1582F45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2">
    <w:name w:val="Основной текст (2)_"/>
    <w:basedOn w:val="DefaultParagraphFont"/>
    <w:link w:val="20"/>
    <w:rsid w:val="00170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7032E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B00E3-4DA5-4EF9-BCE1-EEFD4405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